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C74114" w:rsidRDefault="00DD5BCF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1C39CA"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="001C39CA" w:rsidRPr="00C74114">
        <w:rPr>
          <w:rFonts w:ascii="Times New Roman" w:hAnsi="Times New Roman"/>
          <w:b/>
          <w:sz w:val="28"/>
          <w:szCs w:val="28"/>
        </w:rPr>
        <w:t>отдела</w:t>
      </w:r>
      <w:r w:rsidR="001C39CA"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 w:rsidR="001C39CA">
        <w:rPr>
          <w:rFonts w:ascii="Times New Roman" w:hAnsi="Times New Roman"/>
          <w:b/>
          <w:sz w:val="28"/>
          <w:szCs w:val="28"/>
        </w:rPr>
        <w:t xml:space="preserve"> (на период отпус</w:t>
      </w:r>
      <w:bookmarkStart w:id="0" w:name="_GoBack"/>
      <w:bookmarkEnd w:id="0"/>
      <w:r w:rsidR="001C39CA">
        <w:rPr>
          <w:rFonts w:ascii="Times New Roman" w:hAnsi="Times New Roman"/>
          <w:b/>
          <w:sz w:val="28"/>
          <w:szCs w:val="28"/>
        </w:rPr>
        <w:t>ка по уходу за ребенком основного работника до 30 сентября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1C39CA">
        <w:rPr>
          <w:rFonts w:ascii="Times New Roman" w:hAnsi="Times New Roman"/>
          <w:b/>
          <w:sz w:val="28"/>
          <w:szCs w:val="28"/>
        </w:rPr>
        <w:t xml:space="preserve"> года),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DD5BCF">
        <w:rPr>
          <w:rFonts w:ascii="Times New Roman" w:hAnsi="Times New Roman"/>
          <w:b/>
          <w:sz w:val="28"/>
          <w:szCs w:val="28"/>
        </w:rPr>
        <w:t xml:space="preserve"> </w:t>
      </w:r>
      <w:r w:rsidRPr="00C74114">
        <w:rPr>
          <w:rFonts w:ascii="Times New Roman" w:hAnsi="Times New Roman"/>
          <w:bCs/>
          <w:sz w:val="28"/>
          <w:szCs w:val="28"/>
        </w:rPr>
        <w:t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ысшее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У «Управление  </w:t>
      </w:r>
      <w:r w:rsidRPr="00E202F0">
        <w:rPr>
          <w:rFonts w:ascii="Times New Roman" w:hAnsi="Times New Roman"/>
          <w:sz w:val="28"/>
          <w:szCs w:val="28"/>
          <w:lang w:val="kk-KZ"/>
        </w:rPr>
        <w:lastRenderedPageBreak/>
        <w:t>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құрметтiатақтары (болғанжағдайда)/ Государственные награды,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F30A4"/>
    <w:rsid w:val="00193A93"/>
    <w:rsid w:val="001C39CA"/>
    <w:rsid w:val="00221EBE"/>
    <w:rsid w:val="00230D63"/>
    <w:rsid w:val="003906DC"/>
    <w:rsid w:val="003A6E33"/>
    <w:rsid w:val="00495F1A"/>
    <w:rsid w:val="007263FB"/>
    <w:rsid w:val="008C4DCD"/>
    <w:rsid w:val="009740EE"/>
    <w:rsid w:val="00A027BD"/>
    <w:rsid w:val="00C34D05"/>
    <w:rsid w:val="00DB795A"/>
    <w:rsid w:val="00DD5BCF"/>
    <w:rsid w:val="00EB7385"/>
    <w:rsid w:val="00FC7AB0"/>
    <w:rsid w:val="00FE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7</cp:revision>
  <dcterms:created xsi:type="dcterms:W3CDTF">2018-06-18T02:39:00Z</dcterms:created>
  <dcterms:modified xsi:type="dcterms:W3CDTF">2018-10-08T11:49:00Z</dcterms:modified>
</cp:coreProperties>
</file>